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ascii="宋体" w:hAnsi="宋体" w:cs="宋体"/>
          <w:b/>
          <w:kern w:val="2"/>
          <w:sz w:val="28"/>
          <w:szCs w:val="28"/>
          <w:lang w:val="zh-CN"/>
        </w:rPr>
      </w:pPr>
      <w:bookmarkStart w:id="0" w:name="_Toc7093"/>
      <w:bookmarkStart w:id="1" w:name="_Toc8149"/>
      <w:bookmarkStart w:id="2" w:name="_Toc29094"/>
      <w:bookmarkStart w:id="3" w:name="_Toc25410"/>
      <w:r>
        <w:rPr>
          <w:rFonts w:hint="eastAsia" w:ascii="宋体" w:hAnsi="宋体" w:cs="宋体"/>
          <w:b/>
          <w:kern w:val="2"/>
          <w:sz w:val="28"/>
          <w:szCs w:val="28"/>
          <w:lang w:val="zh-CN"/>
        </w:rPr>
        <w:t>竞买报价表</w:t>
      </w:r>
      <w:bookmarkEnd w:id="0"/>
      <w:bookmarkEnd w:id="1"/>
      <w:bookmarkEnd w:id="2"/>
      <w:bookmarkEnd w:id="3"/>
    </w:p>
    <w:p>
      <w:pPr>
        <w:rPr>
          <w:rFonts w:ascii="宋体" w:hAnsi="宋体" w:eastAsia="宋体" w:cs="宋体"/>
          <w:sz w:val="24"/>
          <w:szCs w:val="24"/>
          <w:lang w:val="zh-CN"/>
        </w:rPr>
      </w:pPr>
    </w:p>
    <w:tbl>
      <w:tblPr>
        <w:tblStyle w:val="13"/>
        <w:tblW w:w="886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3"/>
        <w:gridCol w:w="74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83" w:type="dxa"/>
            <w:vAlign w:val="center"/>
          </w:tcPr>
          <w:p>
            <w:pPr>
              <w:pStyle w:val="5"/>
              <w:spacing w:after="0" w:line="400" w:lineRule="exact"/>
              <w:ind w:left="0" w:leftChars="0"/>
              <w:jc w:val="center"/>
              <w:rPr>
                <w:rFonts w:ascii="宋体" w:hAnsi="宋体" w:cs="宋体"/>
                <w:bCs/>
                <w:sz w:val="24"/>
              </w:rPr>
            </w:pPr>
            <w:r>
              <w:rPr>
                <w:rFonts w:hint="eastAsia" w:ascii="宋体" w:hAnsi="宋体" w:cs="宋体"/>
                <w:bCs/>
                <w:sz w:val="24"/>
              </w:rPr>
              <w:t>竞买资产</w:t>
            </w:r>
          </w:p>
        </w:tc>
        <w:tc>
          <w:tcPr>
            <w:tcW w:w="7482" w:type="dxa"/>
            <w:vAlign w:val="center"/>
          </w:tcPr>
          <w:p>
            <w:pPr>
              <w:pStyle w:val="5"/>
              <w:spacing w:after="0" w:line="400" w:lineRule="exact"/>
              <w:ind w:left="0" w:leftChars="0"/>
              <w:rPr>
                <w:rFonts w:ascii="宋体" w:hAnsi="宋体" w:cs="宋体"/>
                <w:bCs/>
                <w:sz w:val="24"/>
              </w:rPr>
            </w:pPr>
            <w:r>
              <w:rPr>
                <w:rFonts w:hint="eastAsia" w:ascii="宋体" w:hAnsi="宋体" w:cs="宋体"/>
                <w:spacing w:val="4"/>
                <w:sz w:val="24"/>
                <w:lang w:bidi="ar"/>
              </w:rPr>
              <w:t>南京市玄武区太平门街6号御花园贵宾楼</w:t>
            </w:r>
            <w:r>
              <w:rPr>
                <w:rFonts w:hint="eastAsia" w:ascii="宋体" w:hAnsi="宋体" w:cs="宋体"/>
                <w:spacing w:val="4"/>
                <w:sz w:val="24"/>
                <w:u w:val="single"/>
                <w:lang w:bidi="ar"/>
              </w:rPr>
              <w:t xml:space="preserve">              （以公告转让标的资产情况部分【】内粗体字部分为准）</w:t>
            </w:r>
            <w:r>
              <w:rPr>
                <w:rFonts w:hint="eastAsia" w:ascii="宋体" w:hAnsi="宋体" w:cs="宋体"/>
                <w:spacing w:val="4"/>
                <w:sz w:val="24"/>
                <w:lang w:bidi="ar"/>
              </w:rPr>
              <w:t>资产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383" w:type="dxa"/>
            <w:vMerge w:val="restart"/>
            <w:vAlign w:val="center"/>
          </w:tcPr>
          <w:p>
            <w:pPr>
              <w:pStyle w:val="5"/>
              <w:spacing w:after="0" w:line="340" w:lineRule="exact"/>
              <w:ind w:left="0" w:leftChars="0"/>
              <w:jc w:val="center"/>
              <w:rPr>
                <w:rFonts w:ascii="宋体" w:hAnsi="宋体" w:cs="宋体"/>
                <w:bCs/>
                <w:sz w:val="24"/>
              </w:rPr>
            </w:pPr>
            <w:r>
              <w:rPr>
                <w:rFonts w:hint="eastAsia" w:ascii="宋体" w:hAnsi="宋体" w:cs="宋体"/>
                <w:bCs/>
                <w:sz w:val="24"/>
              </w:rPr>
              <w:t>竞买报价</w:t>
            </w:r>
          </w:p>
        </w:tc>
        <w:tc>
          <w:tcPr>
            <w:tcW w:w="7482" w:type="dxa"/>
            <w:vAlign w:val="center"/>
          </w:tcPr>
          <w:p>
            <w:pPr>
              <w:spacing w:line="340" w:lineRule="exact"/>
              <w:rPr>
                <w:rFonts w:ascii="宋体" w:hAnsi="宋体" w:eastAsia="宋体" w:cs="宋体"/>
                <w:bCs/>
                <w:sz w:val="24"/>
                <w:szCs w:val="24"/>
              </w:rPr>
            </w:pPr>
            <w:r>
              <w:rPr>
                <w:rFonts w:hint="eastAsia" w:ascii="宋体" w:hAnsi="宋体" w:eastAsia="宋体" w:cs="宋体"/>
                <w:bCs/>
                <w:sz w:val="24"/>
                <w:szCs w:val="24"/>
              </w:rPr>
              <w:t>竞买报价：人民币</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3" w:type="dxa"/>
            <w:vMerge w:val="continue"/>
            <w:vAlign w:val="center"/>
          </w:tcPr>
          <w:p>
            <w:pPr>
              <w:spacing w:line="340" w:lineRule="exact"/>
              <w:rPr>
                <w:rFonts w:ascii="宋体" w:hAnsi="宋体" w:eastAsia="宋体" w:cs="宋体"/>
                <w:sz w:val="24"/>
                <w:szCs w:val="24"/>
              </w:rPr>
            </w:pPr>
          </w:p>
        </w:tc>
        <w:tc>
          <w:tcPr>
            <w:tcW w:w="7482" w:type="dxa"/>
          </w:tcPr>
          <w:p>
            <w:pPr>
              <w:pStyle w:val="10"/>
              <w:spacing w:line="460" w:lineRule="exact"/>
              <w:rPr>
                <w:rFonts w:ascii="宋体" w:hAnsi="宋体" w:eastAsia="宋体" w:cs="宋体"/>
                <w:b/>
                <w:bCs/>
              </w:rPr>
            </w:pPr>
            <w:r>
              <w:rPr>
                <w:rFonts w:hint="eastAsia" w:ascii="宋体" w:hAnsi="宋体" w:eastAsia="宋体" w:cs="宋体"/>
                <w:b/>
                <w:bCs/>
              </w:rPr>
              <w:t>1、支付方式：签订合同后，且收到国通信托有限责任公司移交载明其为产权人产权登记证书时一次性付款；</w:t>
            </w:r>
          </w:p>
          <w:p>
            <w:pPr>
              <w:pStyle w:val="10"/>
              <w:spacing w:line="460" w:lineRule="exact"/>
              <w:rPr>
                <w:rFonts w:ascii="宋体" w:hAnsi="宋体" w:eastAsia="宋体" w:cs="宋体"/>
                <w:b/>
                <w:bCs/>
                <w:u w:val="single"/>
              </w:rPr>
            </w:pPr>
            <w:r>
              <w:rPr>
                <w:rFonts w:hint="eastAsia" w:ascii="宋体" w:hAnsi="宋体" w:eastAsia="宋体" w:cs="宋体"/>
                <w:b/>
                <w:bCs/>
              </w:rPr>
              <w:t>2、资产产权登记税费双方依法依规各自承担；</w:t>
            </w:r>
          </w:p>
          <w:p>
            <w:pPr>
              <w:spacing w:line="400" w:lineRule="exact"/>
              <w:rPr>
                <w:rFonts w:ascii="宋体" w:hAnsi="宋体" w:eastAsia="宋体" w:cs="宋体"/>
                <w:b/>
                <w:bCs/>
                <w:sz w:val="24"/>
                <w:szCs w:val="24"/>
                <w:u w:val="single"/>
              </w:rPr>
            </w:pPr>
            <w:r>
              <w:rPr>
                <w:rFonts w:hint="eastAsia" w:ascii="宋体" w:hAnsi="宋体" w:eastAsia="宋体" w:cs="宋体"/>
                <w:b/>
                <w:bCs/>
                <w:sz w:val="24"/>
                <w:szCs w:val="24"/>
              </w:rPr>
              <w:t>3、投标报价其它考虑因素：</w:t>
            </w:r>
          </w:p>
          <w:p>
            <w:pPr>
              <w:spacing w:line="400" w:lineRule="exact"/>
              <w:rPr>
                <w:rFonts w:ascii="宋体" w:hAnsi="宋体" w:eastAsia="宋体" w:cs="宋体"/>
                <w:sz w:val="24"/>
                <w:szCs w:val="24"/>
              </w:rPr>
            </w:pPr>
            <w:r>
              <w:rPr>
                <w:rFonts w:hint="eastAsia" w:ascii="宋体" w:hAnsi="宋体" w:eastAsia="宋体" w:cs="宋体"/>
                <w:sz w:val="24"/>
                <w:szCs w:val="24"/>
              </w:rPr>
              <w:t>（1）我方自行踏勘现场，认真研究地理位置及资产现状，资产所涉及的相关损失（包括不限于房屋维修费用、水电费用、垃圾清运费用、物业费用等）自愿承担；</w:t>
            </w:r>
          </w:p>
          <w:p>
            <w:pPr>
              <w:spacing w:line="400" w:lineRule="exact"/>
              <w:rPr>
                <w:rFonts w:ascii="宋体" w:hAnsi="宋体" w:eastAsia="宋体" w:cs="宋体"/>
                <w:b/>
                <w:bCs/>
                <w:sz w:val="24"/>
                <w:szCs w:val="24"/>
              </w:rPr>
            </w:pPr>
            <w:r>
              <w:rPr>
                <w:rFonts w:hint="eastAsia" w:ascii="宋体" w:hAnsi="宋体" w:eastAsia="宋体" w:cs="宋体"/>
                <w:sz w:val="24"/>
                <w:szCs w:val="24"/>
              </w:rPr>
              <w:t>（2）我方已在参与竞买前充分知晓考虑资产所存在的各类风险因素，并考虑至竞买报价中。</w:t>
            </w:r>
          </w:p>
        </w:tc>
      </w:tr>
    </w:tbl>
    <w:p>
      <w:pPr>
        <w:tabs>
          <w:tab w:val="left" w:pos="5760"/>
          <w:tab w:val="left" w:pos="6120"/>
        </w:tabs>
        <w:snapToGrid w:val="0"/>
        <w:spacing w:before="60" w:after="60" w:line="320" w:lineRule="exact"/>
        <w:ind w:right="2190" w:rightChars="1043"/>
        <w:jc w:val="left"/>
        <w:rPr>
          <w:rFonts w:ascii="宋体" w:hAnsi="宋体" w:eastAsia="宋体" w:cs="宋体"/>
          <w:b/>
          <w:bCs/>
          <w:sz w:val="24"/>
          <w:szCs w:val="24"/>
          <w:lang w:bidi="ar"/>
        </w:rPr>
      </w:pPr>
      <w:r>
        <w:rPr>
          <w:rFonts w:hint="eastAsia" w:ascii="宋体" w:hAnsi="宋体" w:eastAsia="宋体" w:cs="宋体"/>
          <w:b/>
          <w:bCs/>
          <w:sz w:val="24"/>
          <w:szCs w:val="24"/>
          <w:lang w:bidi="ar"/>
        </w:rPr>
        <w:t>注：如同一竞买人要竞买多处资产，请分别填写上述报价表。</w:t>
      </w:r>
    </w:p>
    <w:p>
      <w:pPr>
        <w:tabs>
          <w:tab w:val="left" w:pos="5760"/>
          <w:tab w:val="left" w:pos="6120"/>
        </w:tabs>
        <w:snapToGrid w:val="0"/>
        <w:spacing w:before="60" w:after="60" w:line="320" w:lineRule="exact"/>
        <w:ind w:right="2190" w:rightChars="1043"/>
        <w:jc w:val="left"/>
        <w:rPr>
          <w:rFonts w:ascii="宋体" w:hAnsi="宋体" w:eastAsia="宋体" w:cs="宋体"/>
          <w:sz w:val="24"/>
          <w:szCs w:val="24"/>
          <w:lang w:bidi="ar"/>
        </w:rPr>
      </w:pPr>
    </w:p>
    <w:p>
      <w:pPr>
        <w:tabs>
          <w:tab w:val="left" w:pos="5760"/>
          <w:tab w:val="left" w:pos="6120"/>
        </w:tabs>
        <w:spacing w:before="60" w:after="60" w:line="360" w:lineRule="auto"/>
        <w:ind w:right="2190" w:rightChars="1043"/>
        <w:rPr>
          <w:rFonts w:ascii="宋体" w:hAnsi="宋体" w:eastAsia="宋体" w:cs="宋体"/>
          <w:sz w:val="24"/>
          <w:szCs w:val="24"/>
          <w:u w:val="single"/>
        </w:rPr>
      </w:pPr>
      <w:r>
        <w:rPr>
          <w:rFonts w:hint="eastAsia" w:ascii="宋体" w:hAnsi="宋体" w:eastAsia="宋体" w:cs="宋体"/>
          <w:sz w:val="24"/>
          <w:szCs w:val="24"/>
          <w:lang w:bidi="ar"/>
        </w:rPr>
        <w:t>竞买人（签字或盖章）：</w:t>
      </w:r>
      <w:r>
        <w:rPr>
          <w:rFonts w:hint="eastAsia" w:ascii="宋体" w:hAnsi="宋体" w:eastAsia="宋体" w:cs="宋体"/>
          <w:sz w:val="24"/>
          <w:szCs w:val="24"/>
          <w:u w:val="single"/>
          <w:lang w:bidi="ar"/>
        </w:rPr>
        <w:t xml:space="preserve">                  </w:t>
      </w:r>
    </w:p>
    <w:p>
      <w:pPr>
        <w:spacing w:before="60" w:after="60" w:line="360" w:lineRule="auto"/>
        <w:ind w:right="930" w:rightChars="443"/>
        <w:rPr>
          <w:rFonts w:ascii="宋体" w:hAnsi="宋体" w:eastAsia="宋体" w:cs="宋体"/>
          <w:sz w:val="24"/>
          <w:szCs w:val="24"/>
          <w:lang w:bidi="ar"/>
        </w:rPr>
      </w:pPr>
      <w:r>
        <w:rPr>
          <w:rFonts w:hint="eastAsia" w:ascii="宋体" w:hAnsi="宋体" w:eastAsia="宋体" w:cs="宋体"/>
          <w:sz w:val="24"/>
          <w:szCs w:val="24"/>
          <w:lang w:bidi="ar"/>
        </w:rPr>
        <w:t>法定代表人或其委托代理人（签字或盖章）：</w:t>
      </w:r>
      <w:r>
        <w:rPr>
          <w:rFonts w:hint="eastAsia" w:ascii="宋体" w:hAnsi="宋体" w:eastAsia="宋体" w:cs="宋体"/>
          <w:sz w:val="24"/>
          <w:szCs w:val="24"/>
          <w:u w:val="single"/>
          <w:lang w:bidi="ar"/>
        </w:rPr>
        <w:t xml:space="preserve">                  </w:t>
      </w:r>
    </w:p>
    <w:p>
      <w:pPr>
        <w:spacing w:before="60" w:after="60" w:line="360" w:lineRule="auto"/>
        <w:ind w:right="930" w:rightChars="443"/>
        <w:rPr>
          <w:rFonts w:ascii="宋体" w:hAnsi="宋体" w:eastAsia="宋体" w:cs="宋体"/>
          <w:sz w:val="24"/>
          <w:lang w:bidi="ar"/>
        </w:rPr>
      </w:pPr>
      <w:r>
        <w:rPr>
          <w:rFonts w:hint="eastAsia" w:ascii="宋体" w:hAnsi="宋体" w:eastAsia="宋体" w:cs="宋体"/>
          <w:sz w:val="24"/>
          <w:szCs w:val="24"/>
          <w:lang w:bidi="ar"/>
        </w:rPr>
        <w:t>日   期：     年    月    日</w:t>
      </w:r>
      <w:bookmarkStart w:id="4" w:name="_GoBack"/>
      <w:bookmarkEnd w:id="4"/>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